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F" w:rsidRDefault="00C265AF" w:rsidP="00C265AF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AF" w:rsidRDefault="00C265AF" w:rsidP="00C265AF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جدول شماره 1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407"/>
        <w:gridCol w:w="1080"/>
        <w:gridCol w:w="1170"/>
        <w:gridCol w:w="2970"/>
        <w:gridCol w:w="1890"/>
      </w:tblGrid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C265AF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مقالات علمی</w:t>
            </w:r>
            <w:r>
              <w:rPr>
                <w:rFonts w:ascii="Times New Roman" w:hAnsi="Times New Roman" w:cs="Times New Roman"/>
                <w:rtl/>
              </w:rPr>
              <w:t>–</w:t>
            </w:r>
            <w:r>
              <w:rPr>
                <w:rFonts w:cs="B Zar" w:hint="cs"/>
                <w:rtl/>
              </w:rPr>
              <w:t xml:space="preserve"> پژوهشی (داخلی و خارجی) مرتبط با پایان نامه</w:t>
            </w:r>
          </w:p>
          <w:p w:rsidR="00C265AF" w:rsidRDefault="00C265AF" w:rsidP="00C265AF">
            <w:pPr>
              <w:pStyle w:val="ListParagraph"/>
              <w:numPr>
                <w:ilvl w:val="1"/>
                <w:numId w:val="1"/>
              </w:numPr>
              <w:jc w:val="both"/>
              <w:rPr>
                <w:rFonts w:cs="B Zar"/>
              </w:rPr>
            </w:pPr>
            <w:r>
              <w:rPr>
                <w:rFonts w:cs="B Zar" w:hint="cs"/>
                <w:rtl/>
              </w:rPr>
              <w:t>گواهی ثبت اختراع مود تایید سازمان   پژوهش های علمی و صنعتی ایران</w:t>
            </w:r>
          </w:p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1-3- برگزیدگی در جشنواره های علمی معتبر 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C265AF" w:rsidRDefault="00C265AF" w:rsidP="009064B4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C265AF" w:rsidRDefault="00C265AF" w:rsidP="009064B4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RPr="00290C21" w:rsidTr="009064B4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290C21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265AF" w:rsidRDefault="00C265AF" w:rsidP="00C265AF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C265AF" w:rsidTr="009064B4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RPr="004C3099" w:rsidTr="009064B4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4C3099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4C3099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4C3099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4C3099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4C3099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noProof/>
          <w:sz w:val="20"/>
          <w:szCs w:val="20"/>
          <w:rtl/>
        </w:rPr>
      </w:pPr>
    </w:p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noProof/>
          <w:sz w:val="20"/>
          <w:szCs w:val="20"/>
          <w:rtl/>
        </w:rPr>
      </w:pPr>
    </w:p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noProof/>
          <w:sz w:val="20"/>
          <w:szCs w:val="20"/>
          <w:rtl/>
        </w:rPr>
      </w:pPr>
    </w:p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 w:hint="cs"/>
          <w:b/>
          <w:bCs/>
          <w:sz w:val="20"/>
          <w:szCs w:val="20"/>
          <w:rtl/>
          <w:lang w:bidi="fa-IR"/>
        </w:rPr>
      </w:pPr>
      <w:r w:rsidRPr="00C265AF">
        <w:rPr>
          <w:rFonts w:cs="B Homa"/>
          <w:b/>
          <w:bCs/>
          <w:sz w:val="20"/>
          <w:szCs w:val="20"/>
          <w:rtl/>
          <w:lang w:bidi="fa-IR"/>
        </w:rPr>
        <w:lastRenderedPageBreak/>
        <w:drawing>
          <wp:inline distT="0" distB="0" distL="0" distR="0">
            <wp:extent cx="800100" cy="704850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AF" w:rsidRDefault="00C265AF" w:rsidP="00C265AF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C265AF" w:rsidRDefault="00C265AF" w:rsidP="00C265AF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093"/>
        <w:gridCol w:w="3775"/>
        <w:gridCol w:w="2434"/>
        <w:gridCol w:w="3380"/>
      </w:tblGrid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 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Default="00C265AF" w:rsidP="009064B4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C265AF" w:rsidRPr="008B4A5A" w:rsidTr="009064B4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8B4A5A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8B4A5A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5AF" w:rsidRPr="008B4A5A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5AF" w:rsidRPr="008B4A5A" w:rsidRDefault="00C265AF" w:rsidP="009064B4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C265AF" w:rsidRDefault="00C265AF" w:rsidP="00C265AF">
      <w:pPr>
        <w:jc w:val="center"/>
        <w:rPr>
          <w:rFonts w:cs="B Zar"/>
          <w:b/>
          <w:bCs/>
          <w:rtl/>
          <w:lang w:val="en-AU" w:bidi="fa-IR"/>
        </w:rPr>
      </w:pPr>
    </w:p>
    <w:p w:rsidR="00C265AF" w:rsidRDefault="00C265AF" w:rsidP="00C265AF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653"/>
        <w:gridCol w:w="1560"/>
        <w:gridCol w:w="1638"/>
        <w:gridCol w:w="2003"/>
        <w:gridCol w:w="2238"/>
      </w:tblGrid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65AF" w:rsidRDefault="00C265AF" w:rsidP="009064B4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C265AF" w:rsidTr="009064B4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F" w:rsidRDefault="00C265AF" w:rsidP="009064B4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AF" w:rsidRDefault="00C265AF" w:rsidP="009064B4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B15B88" w:rsidRDefault="00B15B88" w:rsidP="00B15B88">
      <w:pPr>
        <w:bidi/>
        <w:jc w:val="center"/>
        <w:rPr>
          <w:rFonts w:cs="B Zar" w:hint="cs"/>
          <w:b/>
          <w:bCs/>
          <w:rtl/>
          <w:lang w:bidi="fa-IR"/>
        </w:rPr>
      </w:pPr>
    </w:p>
    <w:p w:rsidR="00C265AF" w:rsidRPr="00B15B88" w:rsidRDefault="00B15B88" w:rsidP="00B15B88">
      <w:pPr>
        <w:bidi/>
        <w:jc w:val="center"/>
        <w:rPr>
          <w:rFonts w:cs="B Titr" w:hint="cs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</w:t>
      </w:r>
      <w:r w:rsidRPr="00B15B88">
        <w:rPr>
          <w:rFonts w:cs="B Titr" w:hint="cs"/>
          <w:b/>
          <w:bCs/>
          <w:rtl/>
          <w:lang w:bidi="fa-IR"/>
        </w:rPr>
        <w:t xml:space="preserve">                                   معاونت آموزشی دانشگاه</w:t>
      </w:r>
    </w:p>
    <w:p w:rsidR="00B15B88" w:rsidRPr="00B15B88" w:rsidRDefault="00B15B88" w:rsidP="00B15B88">
      <w:pPr>
        <w:bidi/>
        <w:jc w:val="center"/>
        <w:rPr>
          <w:rFonts w:cs="B Titr" w:hint="cs"/>
          <w:b/>
          <w:bCs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</w:t>
      </w:r>
      <w:r w:rsidR="008468F6">
        <w:rPr>
          <w:rFonts w:cs="B Titr" w:hint="cs"/>
          <w:b/>
          <w:bCs/>
          <w:rtl/>
          <w:lang w:bidi="fa-IR"/>
        </w:rPr>
        <w:t xml:space="preserve"> </w:t>
      </w:r>
      <w:r w:rsidRPr="00B15B88">
        <w:rPr>
          <w:rFonts w:cs="B Titr" w:hint="cs"/>
          <w:b/>
          <w:bCs/>
          <w:rtl/>
          <w:lang w:bidi="fa-IR"/>
        </w:rPr>
        <w:t xml:space="preserve"> گروه استعدادهای درخشان</w:t>
      </w:r>
    </w:p>
    <w:sectPr w:rsidR="00B15B88" w:rsidRPr="00B15B88" w:rsidSect="00C265AF"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65AF"/>
    <w:rsid w:val="00154B65"/>
    <w:rsid w:val="0024643A"/>
    <w:rsid w:val="00387E2C"/>
    <w:rsid w:val="00462C54"/>
    <w:rsid w:val="004E4DFC"/>
    <w:rsid w:val="008468F6"/>
    <w:rsid w:val="00875852"/>
    <w:rsid w:val="00AB2BAB"/>
    <w:rsid w:val="00B15B88"/>
    <w:rsid w:val="00C265AF"/>
    <w:rsid w:val="00EE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65"/>
    <w:pPr>
      <w:bidi/>
      <w:spacing w:after="0" w:line="240" w:lineRule="auto"/>
      <w:ind w:left="720"/>
      <w:contextualSpacing/>
    </w:pPr>
    <w:rPr>
      <w:rFonts w:ascii="Tahoma" w:eastAsia="MS UI Gothic" w:hAnsi="Tahoma" w:cs="B Traffic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C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moezi</dc:creator>
  <cp:lastModifiedBy>moezi</cp:lastModifiedBy>
  <cp:revision>6</cp:revision>
  <dcterms:created xsi:type="dcterms:W3CDTF">2018-02-17T06:31:00Z</dcterms:created>
  <dcterms:modified xsi:type="dcterms:W3CDTF">2018-02-17T06:36:00Z</dcterms:modified>
</cp:coreProperties>
</file>